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08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567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INSTRUÇÕES PARA O PESQUISADOR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567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Acordo de Parceria é o instrumento jurídico envolvendo instituições públicas e privadas para realização de atividades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CONJUNTAS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pesquisa científica e tecnológica e de desenvolvimento de tecnologia, produto, serviço ou processo para inovação (BRASIL, 2004). Também pode ser utilizado quando houver transferência de recursos financeiros do parceiro privado para o público, facultada a intermediação por Fundação de Apoio (PARANA, 2023). A forma de remuneração dos pesquisadores nesse tipo de interação poderá ser feita através de bolsas de estímulo à inovação (BRASIL. AGU, 2022a). A bolsa concedida se caracteriza como doação, não configurando vínculo empregatício e nem contraprestação de serviços e, por esse motivo, não integra a base de cálculo da contribuição previdenciária (BRASIL, 2004). De acordo com a lista de verificação elaborada pela Câmara Permanente da Ciência, Tecnologia e Inovação da Advocacia Geral da União (BRASIL. AGU, 2022b), os servidores públicos atuantes no acordo e cooperação de PD&amp;I precisam atestar que não se encontram em situação de potencial conflito de interesse em relação à parceria privada, nos termos da Lei n° 12.813, de 16 de maio de 2013.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56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prestação de serviço técnico especializado possui característica acessória em relação à pesquisa e envolve a aplicação de conhecimentos técnicos e científicos para resolver problemas, realizar análises, oferecer consultoria e assessoria, implementar soluções personalizadas, realizar avaliações/certificações com base em requisitos técnicos, promover treinamento de pessoal ou prestar assistência técnica em áreas específicas do setor público e privado (BRASIL, 2004). As Instituições Científicas, Tecnológicas e de Inovação não estão autorizadas a aplicar o disposto na lei 10.973/2004 para qualquer tipo de prestação de serviço, apenas para aquelas atividades voltadas à inovação e à pesquisa científica e tecnológica no ambiente produtivo (BRASIL. AGU, 2022c).</w:t>
      </w:r>
    </w:p>
    <w:p w:rsidR="00000000" w:rsidDel="00000000" w:rsidP="00000000" w:rsidRDefault="00000000" w:rsidRPr="00000000" w14:paraId="00000008">
      <w:pPr>
        <w:spacing w:line="360" w:lineRule="auto"/>
        <w:ind w:firstLine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Considerando que a prestação de serviço tecnológico não deve objetivar o desenvolvimento de uma inovação, a propriedade intelectual nesse tipo de parceria é de exclusividade do contratante que deverá remunerar a universidade através de uma contraprestação financeira, econômica ou híbrida pelo serviço prestado. Todavia, se no decorrer da prestação de serviço emergir alguma inovação/criação, a ICT deve resguardar seu direito à co-titularidade da propriedade intelectual decorrente e esse resguardo deve constar no instrumento contratual jurídico.  Os pesquisadores e funcionários públicos envolvidos na atividade deverão ser remunerados através de verba variável, efetivada por Recibo de Pagamento Autônomo - RPA (</w:t>
      </w:r>
      <w:r w:rsidDel="00000000" w:rsidR="00000000" w:rsidRPr="00000000">
        <w:rPr>
          <w:rFonts w:ascii="Arial Narrow" w:cs="Arial Narrow" w:eastAsia="Arial Narrow" w:hAnsi="Arial Narrow"/>
          <w:smallCaps w:val="1"/>
          <w:sz w:val="24"/>
          <w:szCs w:val="24"/>
          <w:rtl w:val="0"/>
        </w:rPr>
        <w:t xml:space="preserve">PARANÁ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, 2023; BRASIL. MCTI, 2023; BRASIL, 1995) e os discentes deverão ser contratados como estagiários.</w:t>
      </w:r>
    </w:p>
    <w:p w:rsidR="00000000" w:rsidDel="00000000" w:rsidP="00000000" w:rsidRDefault="00000000" w:rsidRPr="00000000" w14:paraId="00000009">
      <w:pPr>
        <w:spacing w:line="360" w:lineRule="auto"/>
        <w:ind w:firstLine="567"/>
        <w:jc w:val="both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ab/>
        <w:t xml:space="preserve">De acordo com o Guia do Fortec,(BRASIL. MCTI, 2023) a diferença entre prestação de serviços e atividade conjunta de pesquisa desenvolvimento e inovação é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“que nestas últimas existe o intuito prévio de obtenção de novo conhecimento ou desenvolvimento de nova tecnologia. Já as primeiras envolvem essencialmente a necessidade de geração de informação, aplicação de processos tecnológicos específicos ou avaliações/certificações com base em requisitos técnicos, padronizados ou não”.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0C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BRASIL. AGU- Advocacia Geral da União. Câmara Permanente da Ciência, Tecnologia e Inovação – CP-CT&amp;I. Parecer n° 02/2023/CP-CT&amp;I/SUBCONSU/PGF/AGU. Acordo de parceria para pesquisa, desenvolvimento e inovação PD&amp;I. Brasília: AGU, 2022a. Disponível em: </w:t>
      </w:r>
      <w:hyperlink r:id="rId7">
        <w:r w:rsidDel="00000000" w:rsidR="00000000" w:rsidRPr="00000000">
          <w:rPr>
            <w:rFonts w:ascii="Arial Narrow" w:cs="Arial Narrow" w:eastAsia="Arial Narrow" w:hAnsi="Arial Narrow"/>
            <w:sz w:val="24"/>
            <w:szCs w:val="24"/>
            <w:u w:val="single"/>
            <w:rtl w:val="0"/>
          </w:rPr>
          <w:t xml:space="preserve">https://www.gov.br/agu/pt-br/composicao/procuradoria-geral-federal-1/subprocuradoria-federal-de-consultoria-juridica/camara-permanente-da-ciencia-tecnologia-e-inovacao-1/instrumentos-do-marco-legal-de-ct-i/copy_of_PARECERn.000022023CPCTISUBCONSUPGFAGU.pdf</w:t>
        </w:r>
      </w:hyperlink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. Acesso em: 19/01/2024.</w:t>
      </w:r>
    </w:p>
    <w:p w:rsidR="00000000" w:rsidDel="00000000" w:rsidP="00000000" w:rsidRDefault="00000000" w:rsidRPr="00000000" w14:paraId="0000000E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BRASIL. AGU- Advocacia Geral da União. Câmara Permanente da Ciência, Tecnologia e Inovação – CP-CT&amp;I. Lista de verificação para acordo de parceria para pesquisa, desenvolvimento e inovação PD&amp;I. Brasília: AGU, 2022b. Disponível em:https://www.gov.br/agu/pt-br/composicao/procuradoria-geral-federal-1/subprocuradoria-federal-de-consultoria-juridica/camara-permanente-da-ciencia-tecnologia-e-inovacao-1/Checklist.pdf</w:t>
      </w:r>
    </w:p>
    <w:p w:rsidR="00000000" w:rsidDel="00000000" w:rsidP="00000000" w:rsidRDefault="00000000" w:rsidRPr="00000000" w14:paraId="0000000F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BRASIL. AGU - Advocacia Geral da União. Câmara Permanente da Ciência, Tecnologia e Inovação - CP-CT&amp;I. Parecer nº 00001/2022/CP-CT&amp;I/DEPCONSU/PGF/AGU. Contrato de prestação de serviços técnicos especializados nas atividades voltadas à inovação e à pesquisa científica e tecnológica. Brasília: AGU, 2022c. Disponível em: https://www.gov.br/agu/pt-br/composicao/procuradoria-geral-federal-1/consultoria-juridica/camara-permanente-da-ciencia-tecnologia-e-inovacao-1/PARECERn.000012022CPCTIDEPCONSUPGFAGU.pdf. Acesso em: 20 jan. 2024 </w:t>
      </w:r>
    </w:p>
    <w:p w:rsidR="00000000" w:rsidDel="00000000" w:rsidP="00000000" w:rsidRDefault="00000000" w:rsidRPr="00000000" w14:paraId="00000010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BRASIL. Lei nº 9.250, de 26 de dezembro de 1995. Altera a legislação do imposto de renda das pessoas físicas e dá outras providências. Brasília, DF: Presidência da República, 1995. Disponível em: </w:t>
      </w:r>
      <w:hyperlink r:id="rId8">
        <w:r w:rsidDel="00000000" w:rsidR="00000000" w:rsidRPr="00000000">
          <w:rPr>
            <w:rFonts w:ascii="Arial Narrow" w:cs="Arial Narrow" w:eastAsia="Arial Narrow" w:hAnsi="Arial Narrow"/>
            <w:color w:val="0000ff"/>
            <w:sz w:val="24"/>
            <w:szCs w:val="24"/>
            <w:u w:val="single"/>
            <w:rtl w:val="0"/>
          </w:rPr>
          <w:t xml:space="preserve">https://www.planalto.gov.br/ccivil_03/leis/l9250.htm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 Acesso em: 26 fev. 2024.</w:t>
      </w:r>
    </w:p>
    <w:p w:rsidR="00000000" w:rsidDel="00000000" w:rsidP="00000000" w:rsidRDefault="00000000" w:rsidRPr="00000000" w14:paraId="00000011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BRASIL. Lei nº 10.973, de 2 de dezembro de 2004. Dispõe sobre incentivos à inovação e à pesquisa tecnológica no ambiente produtivo e dá outras providências. Brasília, DF: Presidência da República, 2004. Disponível em: http://www.planalto.gov.br/ccivil_03/_ato2004- 2006/2004/lei/l10.973.htm. Acesso em: 10 jan. 2024</w:t>
      </w:r>
    </w:p>
    <w:p w:rsidR="00000000" w:rsidDel="00000000" w:rsidP="00000000" w:rsidRDefault="00000000" w:rsidRPr="00000000" w14:paraId="00000012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BRASIL. Lei nº 12.813, de 16 de maio de 2013. Dispõe sobre o conflito de interesses no exercício de cargo ou emprego do Poder Executivo federal e impedimentos posteriores ao exercício do cargo ou emprego; e revoga dispositivos da Lei nº 9.986, de 18 de julho de 2000, e das Medidas Provisórias nºs 2.216-37, de 31 de agosto de 2001, e 2.225-45, de 4 de setembro de 2001.Brasília, DF: Presidência da República, 2013. Disponível em: </w:t>
      </w:r>
      <w:hyperlink r:id="rId9">
        <w:r w:rsidDel="00000000" w:rsidR="00000000" w:rsidRPr="00000000">
          <w:rPr>
            <w:rFonts w:ascii="Arial Narrow" w:cs="Arial Narrow" w:eastAsia="Arial Narrow" w:hAnsi="Arial Narrow"/>
            <w:color w:val="0000ff"/>
            <w:sz w:val="24"/>
            <w:szCs w:val="24"/>
            <w:u w:val="single"/>
            <w:rtl w:val="0"/>
          </w:rPr>
          <w:t xml:space="preserve">https://www.planalto.gov.br/ccivil_03/_ato2011-2014/2013/lei/l12813.htm</w:t>
        </w:r>
      </w:hyperlink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Acesso em: 10 jan. 2024.</w:t>
      </w:r>
    </w:p>
    <w:p w:rsidR="00000000" w:rsidDel="00000000" w:rsidP="00000000" w:rsidRDefault="00000000" w:rsidRPr="00000000" w14:paraId="00000013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BRASIL. MCTI - Ministério da Ciência, Tecnologia, Inovações e Comunicações. Guia de orientação: prestação de serviço técnico especializado por ICTs públicas. Nos termos do Marco Legal de Ciência, Tecnologia e Inovação. Brasília: MCTIC, 2023. Disponível em: </w:t>
      </w:r>
      <w:r w:rsidDel="00000000" w:rsidR="00000000" w:rsidRPr="00000000">
        <w:rPr>
          <w:rFonts w:ascii="Arial Narrow" w:cs="Arial Narrow" w:eastAsia="Arial Narrow" w:hAnsi="Arial Narrow"/>
          <w:color w:val="0000ff"/>
          <w:sz w:val="24"/>
          <w:szCs w:val="24"/>
          <w:u w:val="single"/>
          <w:rtl w:val="0"/>
        </w:rPr>
        <w:t xml:space="preserve">https://fortec.org.br/2023/03/26/guia-prestac%cc%a7a%cc%83o-de-servic%cc%a7os-tecnicos-especializados-por-icts-publicas/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 Acesso em: 10 jan. 2024.</w:t>
      </w:r>
    </w:p>
    <w:p w:rsidR="00000000" w:rsidDel="00000000" w:rsidP="00000000" w:rsidRDefault="00000000" w:rsidRPr="00000000" w14:paraId="00000014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PARANA. Decreto 1350 - 11 DE ABRIL DE 2023. Regulamenta o disposto na Lei nº 20.541, de 20 de abril de 2021 e nos arts. 128, 208 e 285 da Lei nº 6.174, de 16 de novembro de 1970, para estabelecer medidas de incentivo à inovação e à pesquisa científica e tecnológica no ambiente produtivo, com vistas à capacitação tecnológica, ao alcance da autonomia tecnológica e ao desenvolvimento do sistema produtivo nacional e regional. Disponível em: </w:t>
      </w:r>
      <w:hyperlink r:id="rId10">
        <w:r w:rsidDel="00000000" w:rsidR="00000000" w:rsidRPr="00000000">
          <w:rPr>
            <w:rFonts w:ascii="Arial Narrow" w:cs="Arial Narrow" w:eastAsia="Arial Narrow" w:hAnsi="Arial Narrow"/>
            <w:color w:val="0000ff"/>
            <w:sz w:val="24"/>
            <w:szCs w:val="24"/>
            <w:u w:val="single"/>
            <w:rtl w:val="0"/>
          </w:rPr>
          <w:t xml:space="preserve">https://leisestaduais.com.br/pr/decreto-n-1350-2023-parana-regulamenta-o-disposto-na-lei-no-20-541-de-20-de-abril-de-2021-e-nos-arts-128-208-e-285-da-lei-no-6-174-de-16-de-novembro-de-1970-para-estabelecer-medidas-de-incentivo-a-inovacao-e-a-pesquisa-cientifica-e-tecnologica-no-ambiente-produtivo-com-vistas-a-capacitacao-tecnologica-ao-alcance-da-autonomia-tecnologica-e-ao-desenvolvimento-do-sistema-produtivo-nacional-e-regional</w:t>
        </w:r>
      </w:hyperlink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Acesso em: 10 jan. 2024.</w:t>
      </w:r>
    </w:p>
    <w:p w:rsidR="00000000" w:rsidDel="00000000" w:rsidP="00000000" w:rsidRDefault="00000000" w:rsidRPr="00000000" w14:paraId="00000015">
      <w:pPr>
        <w:ind w:left="567" w:hanging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7" w:orient="portrait"/>
      <w:pgMar w:bottom="1134" w:top="1134" w:left="1701" w:right="1134" w:header="720" w:footer="90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Rounded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80808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808080"/>
        <w:sz w:val="14"/>
        <w:szCs w:val="14"/>
      </w:rPr>
    </w:pPr>
    <w:r w:rsidDel="00000000" w:rsidR="00000000" w:rsidRPr="00000000">
      <w:rPr>
        <w:color w:val="808080"/>
        <w:sz w:val="14"/>
        <w:szCs w:val="14"/>
        <w:rtl w:val="0"/>
      </w:rPr>
      <w:t xml:space="preserve">Av. Colombo, 5790 – Bloco B09 – CEP 87020-900 – Fone (44) 3011-3861</w:t>
    </w:r>
    <w:r w:rsidDel="00000000" w:rsidR="00000000" w:rsidRPr="00000000">
      <mc:AlternateContent>
        <mc:Choice Requires="wps">
          <w:drawing>
            <wp:anchor allowOverlap="1" behindDoc="0" distB="4294967293" distT="4294967293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-20306</wp:posOffset>
              </wp:positionV>
              <wp:extent cx="0" cy="15875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48483" y="3780000"/>
                        <a:ext cx="5995035" cy="0"/>
                      </a:xfrm>
                      <a:prstGeom prst="straightConnector1">
                        <a:avLst/>
                      </a:prstGeom>
                      <a:noFill/>
                      <a:ln cap="flat" cmpd="sng" w="15875">
                        <a:solidFill>
                          <a:srgbClr val="A5A5A5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3" distT="4294967293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-20306</wp:posOffset>
              </wp:positionV>
              <wp:extent cx="0" cy="15875"/>
              <wp:effectExtent b="0" l="0" r="0" t="0"/>
              <wp:wrapNone/>
              <wp:docPr id="1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808080"/>
        <w:sz w:val="14"/>
        <w:szCs w:val="14"/>
      </w:rPr>
    </w:pPr>
    <w:r w:rsidDel="00000000" w:rsidR="00000000" w:rsidRPr="00000000">
      <w:rPr>
        <w:color w:val="808080"/>
        <w:sz w:val="14"/>
        <w:szCs w:val="14"/>
        <w:rtl w:val="0"/>
      </w:rPr>
      <w:t xml:space="preserve">Site: http://www.nit.uem.br – e-mail: nit@uem.br</w:t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808080"/>
        <w:sz w:val="14"/>
        <w:szCs w:val="14"/>
      </w:rPr>
    </w:pPr>
    <w:r w:rsidDel="00000000" w:rsidR="00000000" w:rsidRPr="00000000">
      <w:rPr>
        <w:color w:val="808080"/>
        <w:sz w:val="14"/>
        <w:szCs w:val="14"/>
        <w:rtl w:val="0"/>
      </w:rPr>
      <w:t xml:space="preserve">MARINGÁ – PARANÁ – BRASIL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1495425</wp:posOffset>
          </wp:positionH>
          <wp:positionV relativeFrom="paragraph">
            <wp:posOffset>489032</wp:posOffset>
          </wp:positionV>
          <wp:extent cx="3287395" cy="3840480"/>
          <wp:effectExtent b="0" l="0" r="0" t="0"/>
          <wp:wrapNone/>
          <wp:docPr descr="ESTADO" id="11" name="image1.png"/>
          <a:graphic>
            <a:graphicData uri="http://schemas.openxmlformats.org/drawingml/2006/picture">
              <pic:pic>
                <pic:nvPicPr>
                  <pic:cNvPr descr="ESTADO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87395" cy="384048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Arial" w:cs="Arial" w:eastAsia="Arial" w:hAnsi="Arial"/>
        <w:i w:val="1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"/>
      <w:tblW w:w="10134.0" w:type="dxa"/>
      <w:jc w:val="left"/>
      <w:tblInd w:w="-639.0" w:type="dxa"/>
      <w:tblLayout w:type="fixed"/>
      <w:tblLook w:val="0000"/>
    </w:tblPr>
    <w:tblGrid>
      <w:gridCol w:w="1429"/>
      <w:gridCol w:w="7200"/>
      <w:gridCol w:w="1505"/>
      <w:tblGridChange w:id="0">
        <w:tblGrid>
          <w:gridCol w:w="1429"/>
          <w:gridCol w:w="7200"/>
          <w:gridCol w:w="1505"/>
        </w:tblGrid>
      </w:tblGridChange>
    </w:tblGrid>
    <w:tr>
      <w:trPr>
        <w:cantSplit w:val="0"/>
        <w:trHeight w:val="841" w:hRule="atLeast"/>
        <w:tblHeader w:val="0"/>
      </w:trPr>
      <w:tc>
        <w:tcPr/>
        <w:p w:rsidR="00000000" w:rsidDel="00000000" w:rsidP="00000000" w:rsidRDefault="00000000" w:rsidRPr="00000000" w14:paraId="0000001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419"/>
              <w:tab w:val="right" w:leader="none" w:pos="8838"/>
            </w:tabs>
            <w:rPr>
              <w:rFonts w:ascii="Arial Rounded" w:cs="Arial Rounded" w:eastAsia="Arial Rounded" w:hAnsi="Arial Rounded"/>
              <w:b w:val="1"/>
              <w:color w:val="000000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28"/>
              <w:szCs w:val="28"/>
            </w:rPr>
            <w:drawing>
              <wp:inline distB="0" distT="0" distL="0" distR="0">
                <wp:extent cx="688975" cy="743585"/>
                <wp:effectExtent b="0" l="0" r="0" t="0"/>
                <wp:docPr descr="LogoUEM1" id="13" name="image4.jpg"/>
                <a:graphic>
                  <a:graphicData uri="http://schemas.openxmlformats.org/drawingml/2006/picture">
                    <pic:pic>
                      <pic:nvPicPr>
                        <pic:cNvPr descr="LogoUEM1"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975" cy="7435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419"/>
              <w:tab w:val="right" w:leader="none" w:pos="8838"/>
            </w:tabs>
            <w:ind w:right="214"/>
            <w:rPr>
              <w:rFonts w:ascii="Arial" w:cs="Arial" w:eastAsia="Arial" w:hAnsi="Arial"/>
              <w:b w:val="1"/>
              <w:color w:val="000000"/>
              <w:sz w:val="26"/>
              <w:szCs w:val="26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6"/>
              <w:szCs w:val="26"/>
              <w:rtl w:val="0"/>
            </w:rPr>
            <w:t xml:space="preserve">Universidade Estadual de Maringá</w:t>
          </w:r>
        </w:p>
        <w:p w:rsidR="00000000" w:rsidDel="00000000" w:rsidP="00000000" w:rsidRDefault="00000000" w:rsidRPr="00000000" w14:paraId="0000001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419"/>
              <w:tab w:val="right" w:leader="none" w:pos="8838"/>
            </w:tabs>
            <w:rPr>
              <w:rFonts w:ascii="Arial" w:cs="Arial" w:eastAsia="Arial" w:hAnsi="Arial"/>
              <w:b w:val="1"/>
              <w:color w:val="000000"/>
              <w:sz w:val="26"/>
              <w:szCs w:val="26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6"/>
              <w:szCs w:val="26"/>
              <w:rtl w:val="0"/>
            </w:rPr>
            <w:t xml:space="preserve">Pró-Reitoria de Pesquisa e Pós-Graduação</w:t>
          </w:r>
        </w:p>
        <w:p w:rsidR="00000000" w:rsidDel="00000000" w:rsidP="00000000" w:rsidRDefault="00000000" w:rsidRPr="00000000" w14:paraId="0000001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419"/>
              <w:tab w:val="right" w:leader="none" w:pos="8838"/>
            </w:tabs>
            <w:rPr>
              <w:rFonts w:ascii="Arial" w:cs="Arial" w:eastAsia="Arial" w:hAnsi="Arial"/>
              <w:b w:val="1"/>
              <w:color w:val="000000"/>
              <w:sz w:val="26"/>
              <w:szCs w:val="26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6"/>
              <w:szCs w:val="26"/>
              <w:rtl w:val="0"/>
            </w:rPr>
            <w:t xml:space="preserve">Diretoria de Pesquisa</w:t>
          </w:r>
        </w:p>
        <w:p w:rsidR="00000000" w:rsidDel="00000000" w:rsidP="00000000" w:rsidRDefault="00000000" w:rsidRPr="00000000" w14:paraId="0000001B">
          <w:pPr>
            <w:tabs>
              <w:tab w:val="center" w:leader="none" w:pos="4419"/>
              <w:tab w:val="right" w:leader="none" w:pos="8838"/>
            </w:tabs>
            <w:rPr>
              <w:rFonts w:ascii="Arial" w:cs="Arial" w:eastAsia="Arial" w:hAnsi="Arial"/>
              <w:b w:val="1"/>
              <w:i w:val="1"/>
              <w:color w:val="000000"/>
              <w:sz w:val="26"/>
              <w:szCs w:val="26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1"/>
              <w:sz w:val="26"/>
              <w:szCs w:val="26"/>
              <w:rtl w:val="0"/>
            </w:rPr>
            <w:t xml:space="preserve">Núcleo de Inovação Tecnológica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419"/>
              <w:tab w:val="right" w:leader="none" w:pos="8838"/>
            </w:tabs>
            <w:ind w:right="214"/>
            <w:rPr>
              <w:rFonts w:ascii="Tahoma" w:cs="Tahoma" w:eastAsia="Tahoma" w:hAnsi="Tahoma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-158748</wp:posOffset>
                </wp:positionH>
                <wp:positionV relativeFrom="paragraph">
                  <wp:posOffset>-128268</wp:posOffset>
                </wp:positionV>
                <wp:extent cx="754380" cy="914400"/>
                <wp:effectExtent b="0" l="0" r="0" t="0"/>
                <wp:wrapNone/>
                <wp:docPr id="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  <w:u w:val="single"/>
    </w:rPr>
  </w:style>
  <w:style w:type="paragraph" w:styleId="Heading3">
    <w:name w:val="heading 3"/>
    <w:basedOn w:val="Normal"/>
    <w:next w:val="Normal"/>
    <w:pPr>
      <w:keepNext w:val="1"/>
      <w:ind w:left="2835" w:firstLine="2268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ind w:left="1701" w:firstLine="2268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2835" w:firstLine="993.0000000000001"/>
      <w:jc w:val="center"/>
    </w:pPr>
    <w:rPr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b w:val="1"/>
      <w:i w:val="1"/>
      <w:sz w:val="24"/>
      <w:szCs w:val="24"/>
    </w:rPr>
  </w:style>
  <w:style w:type="paragraph" w:styleId="Normal" w:default="1">
    <w:name w:val="Normal"/>
    <w:qFormat w:val="1"/>
    <w:rsid w:val="00C1081A"/>
  </w:style>
  <w:style w:type="paragraph" w:styleId="Ttulo1">
    <w:name w:val="heading 1"/>
    <w:basedOn w:val="Normal"/>
    <w:next w:val="Normal"/>
    <w:qFormat w:val="1"/>
    <w:rsid w:val="00C1081A"/>
    <w:pPr>
      <w:keepNext w:val="1"/>
      <w:jc w:val="center"/>
      <w:outlineLvl w:val="0"/>
    </w:pPr>
    <w:rPr>
      <w:rFonts w:ascii="Arial" w:hAnsi="Arial"/>
      <w:b w:val="1"/>
      <w:bCs w:val="1"/>
      <w:color w:val="000000"/>
    </w:rPr>
  </w:style>
  <w:style w:type="paragraph" w:styleId="Ttulo2">
    <w:name w:val="heading 2"/>
    <w:basedOn w:val="Normal"/>
    <w:next w:val="Normal"/>
    <w:qFormat w:val="1"/>
    <w:rsid w:val="00C1081A"/>
    <w:pPr>
      <w:keepNext w:val="1"/>
      <w:jc w:val="center"/>
      <w:outlineLvl w:val="1"/>
    </w:pPr>
    <w:rPr>
      <w:b w:val="1"/>
      <w:u w:val="single"/>
    </w:rPr>
  </w:style>
  <w:style w:type="paragraph" w:styleId="Ttulo3">
    <w:name w:val="heading 3"/>
    <w:basedOn w:val="Normal"/>
    <w:next w:val="Normal"/>
    <w:qFormat w:val="1"/>
    <w:rsid w:val="00C1081A"/>
    <w:pPr>
      <w:keepNext w:val="1"/>
      <w:ind w:left="2835" w:firstLine="2268"/>
      <w:jc w:val="center"/>
      <w:outlineLvl w:val="2"/>
    </w:pPr>
    <w:rPr>
      <w:b w:val="1"/>
    </w:rPr>
  </w:style>
  <w:style w:type="paragraph" w:styleId="Ttulo4">
    <w:name w:val="heading 4"/>
    <w:basedOn w:val="Normal"/>
    <w:next w:val="Normal"/>
    <w:qFormat w:val="1"/>
    <w:rsid w:val="00C1081A"/>
    <w:pPr>
      <w:keepNext w:val="1"/>
      <w:ind w:left="1701" w:firstLine="2268"/>
      <w:jc w:val="center"/>
      <w:outlineLvl w:val="3"/>
    </w:pPr>
    <w:rPr>
      <w:b w:val="1"/>
    </w:rPr>
  </w:style>
  <w:style w:type="paragraph" w:styleId="Ttulo5">
    <w:name w:val="heading 5"/>
    <w:basedOn w:val="Normal"/>
    <w:next w:val="Normal"/>
    <w:qFormat w:val="1"/>
    <w:rsid w:val="00C1081A"/>
    <w:pPr>
      <w:keepNext w:val="1"/>
      <w:ind w:left="2835" w:firstLine="993"/>
      <w:jc w:val="center"/>
      <w:outlineLvl w:val="4"/>
    </w:pPr>
    <w:rPr>
      <w:b w:val="1"/>
      <w:sz w:val="28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qFormat w:val="1"/>
    <w:rsid w:val="00C1081A"/>
    <w:pPr>
      <w:jc w:val="center"/>
    </w:pPr>
    <w:rPr>
      <w:b w:val="1"/>
      <w:i w:val="1"/>
      <w:sz w:val="24"/>
    </w:rPr>
  </w:style>
  <w:style w:type="paragraph" w:styleId="Recuodecorpodetexto">
    <w:name w:val="Body Text Indent"/>
    <w:basedOn w:val="Normal"/>
    <w:rsid w:val="00C1081A"/>
    <w:pPr>
      <w:ind w:firstLine="1800"/>
    </w:pPr>
    <w:rPr>
      <w:rFonts w:ascii="Arial" w:cs="Arial" w:hAnsi="Arial"/>
    </w:rPr>
  </w:style>
  <w:style w:type="paragraph" w:styleId="Recuodecorpodetexto2">
    <w:name w:val="Body Text Indent 2"/>
    <w:basedOn w:val="Normal"/>
    <w:rsid w:val="00C1081A"/>
    <w:pPr>
      <w:ind w:firstLine="1620"/>
      <w:jc w:val="both"/>
    </w:pPr>
    <w:rPr>
      <w:rFonts w:ascii="Arial" w:cs="Arial" w:hAnsi="Arial"/>
    </w:rPr>
  </w:style>
  <w:style w:type="paragraph" w:styleId="Cabealho">
    <w:name w:val="header"/>
    <w:basedOn w:val="Normal"/>
    <w:rsid w:val="00C1081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C1081A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rsid w:val="00C1081A"/>
    <w:pPr>
      <w:ind w:firstLine="3060"/>
      <w:jc w:val="both"/>
    </w:pPr>
    <w:rPr>
      <w:rFonts w:ascii="Arial" w:cs="Arial" w:hAnsi="Arial"/>
    </w:rPr>
  </w:style>
  <w:style w:type="paragraph" w:styleId="Corpodetexto">
    <w:name w:val="Body Text"/>
    <w:basedOn w:val="Normal"/>
    <w:rsid w:val="00C1081A"/>
    <w:pPr>
      <w:spacing w:after="120"/>
    </w:pPr>
  </w:style>
  <w:style w:type="paragraph" w:styleId="A-Item" w:customStyle="1">
    <w:name w:val="A-Item"/>
    <w:basedOn w:val="Normal"/>
    <w:rsid w:val="00C1081A"/>
    <w:pPr>
      <w:spacing w:before="120"/>
      <w:ind w:left="1645" w:hanging="709"/>
      <w:jc w:val="both"/>
    </w:pPr>
    <w:rPr>
      <w:rFonts w:ascii="Arial" w:hAnsi="Arial"/>
    </w:rPr>
  </w:style>
  <w:style w:type="paragraph" w:styleId="Subttulo">
    <w:name w:val="Subtitle"/>
    <w:basedOn w:val="Normal"/>
    <w:next w:val="Normal"/>
    <w:pPr>
      <w:jc w:val="center"/>
    </w:pPr>
    <w:rPr>
      <w:b w:val="1"/>
      <w:sz w:val="24"/>
      <w:szCs w:val="24"/>
    </w:rPr>
  </w:style>
  <w:style w:type="paragraph" w:styleId="MapadoDocumento">
    <w:name w:val="Document Map"/>
    <w:basedOn w:val="Normal"/>
    <w:semiHidden w:val="1"/>
    <w:rsid w:val="00C1081A"/>
    <w:pPr>
      <w:shd w:color="auto" w:fill="000080" w:val="clear"/>
    </w:pPr>
    <w:rPr>
      <w:rFonts w:ascii="Tahoma" w:cs="Tahoma" w:hAnsi="Tahoma"/>
    </w:rPr>
  </w:style>
  <w:style w:type="paragraph" w:styleId="Textodenotaderodap">
    <w:name w:val="footnote text"/>
    <w:basedOn w:val="Normal"/>
    <w:semiHidden w:val="1"/>
    <w:rsid w:val="00D30119"/>
  </w:style>
  <w:style w:type="character" w:styleId="Refdenotaderodap">
    <w:name w:val="footnote reference"/>
    <w:semiHidden w:val="1"/>
    <w:rsid w:val="00D30119"/>
    <w:rPr>
      <w:vertAlign w:val="superscript"/>
    </w:rPr>
  </w:style>
  <w:style w:type="character" w:styleId="Hyperlink">
    <w:name w:val="Hyperlink"/>
    <w:rsid w:val="006A075F"/>
    <w:rPr>
      <w:color w:val="0000ff"/>
      <w:u w:val="single"/>
    </w:rPr>
  </w:style>
  <w:style w:type="paragraph" w:styleId="Textodebalo">
    <w:name w:val="Balloon Text"/>
    <w:basedOn w:val="Normal"/>
    <w:semiHidden w:val="1"/>
    <w:rsid w:val="001418AE"/>
    <w:rPr>
      <w:rFonts w:ascii="Tahoma" w:cs="Tahoma" w:hAnsi="Tahoma"/>
      <w:sz w:val="16"/>
      <w:szCs w:val="16"/>
    </w:rPr>
  </w:style>
  <w:style w:type="paragraph" w:styleId="TextosemFormatao">
    <w:name w:val="Plain Text"/>
    <w:basedOn w:val="Normal"/>
    <w:link w:val="TextosemFormataoChar"/>
    <w:rsid w:val="00383D7E"/>
    <w:rPr>
      <w:rFonts w:ascii="Consolas" w:hAnsi="Consolas"/>
      <w:sz w:val="21"/>
      <w:szCs w:val="21"/>
      <w:lang w:eastAsia="en-US" w:val="en-US"/>
    </w:rPr>
  </w:style>
  <w:style w:type="character" w:styleId="TextosemFormataoChar" w:customStyle="1">
    <w:name w:val="Texto sem Formatação Char"/>
    <w:link w:val="TextosemFormatao"/>
    <w:locked w:val="1"/>
    <w:rsid w:val="00383D7E"/>
    <w:rPr>
      <w:rFonts w:ascii="Consolas" w:hAnsi="Consolas"/>
      <w:sz w:val="21"/>
      <w:szCs w:val="21"/>
      <w:lang w:bidi="ar-SA" w:eastAsia="en-US" w:val="en-US"/>
    </w:rPr>
  </w:style>
  <w:style w:type="paragraph" w:styleId="Default" w:customStyle="1">
    <w:name w:val="Default"/>
    <w:rsid w:val="00383D7E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  <w:lang w:eastAsia="en-US" w:val="en-US"/>
    </w:rPr>
  </w:style>
  <w:style w:type="paragraph" w:styleId="A-Artigo" w:customStyle="1">
    <w:name w:val="A-Artigo"/>
    <w:basedOn w:val="Normal"/>
    <w:rsid w:val="007B575D"/>
    <w:pPr>
      <w:spacing w:after="120" w:before="240"/>
      <w:ind w:left="936" w:hanging="936"/>
      <w:jc w:val="both"/>
    </w:pPr>
    <w:rPr>
      <w:rFonts w:ascii="Arial" w:hAnsi="Arial"/>
    </w:rPr>
  </w:style>
  <w:style w:type="table" w:styleId="Tabelacomgrade">
    <w:name w:val="Table Grid"/>
    <w:basedOn w:val="Tabelanormal"/>
    <w:rsid w:val="00C21AF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odapChar" w:customStyle="1">
    <w:name w:val="Rodapé Char"/>
    <w:link w:val="Rodap"/>
    <w:uiPriority w:val="99"/>
    <w:rsid w:val="00153FAA"/>
  </w:style>
  <w:style w:type="character" w:styleId="nfase">
    <w:name w:val="Emphasis"/>
    <w:basedOn w:val="Fontepargpadro"/>
    <w:qFormat w:val="1"/>
    <w:rsid w:val="00CB003A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CE77DB"/>
    <w:pPr>
      <w:ind w:left="720"/>
      <w:contextualSpacing w:val="1"/>
    </w:p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Legenda">
    <w:name w:val="caption"/>
    <w:basedOn w:val="Normal"/>
    <w:next w:val="Normal"/>
    <w:uiPriority w:val="35"/>
    <w:unhideWhenUsed w:val="1"/>
    <w:qFormat w:val="1"/>
    <w:rsid w:val="00AE3A37"/>
    <w:pPr>
      <w:spacing w:after="200"/>
    </w:pPr>
    <w:rPr>
      <w:i w:val="1"/>
      <w:iCs w:val="1"/>
      <w:color w:val="1f497d" w:themeColor="text2"/>
      <w:sz w:val="18"/>
      <w:szCs w:val="18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7C1A1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jc w:val="center"/>
    </w:pPr>
    <w:rPr>
      <w:b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leisestaduais.com.br/pr/decreto-n-1350-2023-parana-regulamenta-o-disposto-na-lei-no-20-541-de-20-de-abril-de-2021-e-nos-arts-128-208-e-285-da-lei-no-6-174-de-16-de-novembro-de-1970-para-estabelecer-medidas-de-incentivo-a-inovacao-e-a-pesquisa-cientifica-e-tecnologica-no-ambiente-produtivo-com-vistas-a-capacitacao-tecnologica-ao-alcance-da-autonomia-tecnologica-e-ao-desenvolvimento-do-sistema-produtivo-nacional-e-regional" TargetMode="External"/><Relationship Id="rId12" Type="http://schemas.openxmlformats.org/officeDocument/2006/relationships/footer" Target="footer1.xml"/><Relationship Id="rId9" Type="http://schemas.openxmlformats.org/officeDocument/2006/relationships/hyperlink" Target="https://www.planalto.gov.br/ccivil_03/_ato2011-2014/2013/lei/l12813.ht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v.br/agu/pt-br/composicao/procuradoria-geral-federal-1/subprocuradoria-federal-de-consultoria-juridica/camara-permanente-da-ciencia-tecnologia-e-inovacao-1/instrumentos-do-marco-legal-de-ct-i/copy_of_PARECERn.000022023CPCTISUBCONSUPGFAGU.pdf" TargetMode="External"/><Relationship Id="rId8" Type="http://schemas.openxmlformats.org/officeDocument/2006/relationships/hyperlink" Target="https://www.planalto.gov.br/ccivil_03/leis/l9250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+ELViUqUCGO9fu630OMl4ZCwiQ==">CgMxLjAyCGguZ2pkZ3hzMgloLjMwajB6bGw4AHIhMU5MYVZKajR2cUJFcnpDUnBtZjdHREZKci0ybW5VR3dH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2024-01-29T13:52:00Z</dcterms:created>
  <dc:creator>Angelo-NIT</dc:creator>
</cp:coreProperties>
</file>